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ПРЕЗИДИУМ ВЫСШЕГО АРБИТРАЖНОГО СУДА РОССИЙСКОЙ ФЕДЕРАЦИИ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ИНФОРМАЦИОННОЕ ПИСЬМО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августа 2003 г. N 74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ОТДЕЛЬНЫХ ОСОБЕННОСТЯХ РАССМОТРЕНИЯ ДЕЛ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НЕСОСТОЯТЕЛЬНОСТИ (БАНКРОТСТВЕ) КРЕДИТНЫХ ОРГАНИЗАЦИЙ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 внесения соответствующих изменений в действующую редакцию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 февраля 1999 года N 40-ФЗ "О несостоятельности (банкротстве) кредитных организаций" Президиум Высшего Арбитражного Суда Российской Федерации рекомендует арбитражным судам при применении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октября 2002 года N 127-ФЗ "О несостоятельности (банкротстве)" в судебной практике руководствоваться следующим: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соответствии с пунктом 2 </w:t>
      </w:r>
      <w:hyperlink r:id="rId7" w:history="1">
        <w:r>
          <w:rPr>
            <w:rFonts w:ascii="Calibri" w:hAnsi="Calibri" w:cs="Calibri"/>
            <w:color w:val="0000FF"/>
          </w:rPr>
          <w:t>статьи 181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 и </w:t>
      </w:r>
      <w:hyperlink r:id="rId8" w:history="1">
        <w:r>
          <w:rPr>
            <w:rFonts w:ascii="Calibri" w:hAnsi="Calibri" w:cs="Calibri"/>
            <w:color w:val="0000FF"/>
          </w:rPr>
          <w:t>статьей 40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 кредитных организаций" наличие приказа Банка России об отзыве у кредитной организации лицензии на осуществление банковских операций является необходимым условием принятия арбитражным судом к рассмотрению заявления о признании данной кредитной организации банкротом.</w:t>
      </w:r>
      <w:proofErr w:type="gramEnd"/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</w:t>
      </w:r>
      <w:proofErr w:type="gramStart"/>
      <w:r>
        <w:rPr>
          <w:rFonts w:ascii="Calibri" w:hAnsi="Calibri" w:cs="Calibri"/>
        </w:rPr>
        <w:t>к моменту рассмотрения вопроса о принятии заявления о признании кредитной организации банкротом арбитражным судом принято решение о признании недействительным приказа Банка России об отзыве</w:t>
      </w:r>
      <w:proofErr w:type="gramEnd"/>
      <w:r>
        <w:rPr>
          <w:rFonts w:ascii="Calibri" w:hAnsi="Calibri" w:cs="Calibri"/>
        </w:rPr>
        <w:t xml:space="preserve"> у кредитной организации указанной лицензии, арбитражный суд на основании </w:t>
      </w:r>
      <w:hyperlink r:id="rId9" w:history="1">
        <w:r>
          <w:rPr>
            <w:rFonts w:ascii="Calibri" w:hAnsi="Calibri" w:cs="Calibri"/>
            <w:color w:val="0000FF"/>
          </w:rPr>
          <w:t>статьи 43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 кредитных организаций" возвращает заявление о признании кредитной организации банкротом.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частью 5 </w:t>
      </w:r>
      <w:hyperlink r:id="rId10" w:history="1">
        <w:r>
          <w:rPr>
            <w:rFonts w:ascii="Calibri" w:hAnsi="Calibri" w:cs="Calibri"/>
            <w:color w:val="0000FF"/>
          </w:rPr>
          <w:t>статьи 20</w:t>
        </w:r>
      </w:hyperlink>
      <w:r>
        <w:rPr>
          <w:rFonts w:ascii="Calibri" w:hAnsi="Calibri" w:cs="Calibri"/>
        </w:rPr>
        <w:t xml:space="preserve"> Федерального закона "О банках и банковской деятельности" обжалование решения Банка России об отзыве лицензии или применение мер по обеспечению исков в отношении кредитной организации не приостанавливает действия указанного решения и не свидетельствует о сохранении лицензии у кредитной организации применительно к законодательству о банкротстве.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Если приказ Банка России об отзыве лицензии у кредитной организации признается недействительным после принятия заявления о признании этой организации банкротом, но до вынесения решения по делу о банкротстве, производство по делу о банкротстве подлежит прекращению на основании пункта 1 части 1 </w:t>
      </w:r>
      <w:hyperlink r:id="rId11" w:history="1">
        <w:r>
          <w:rPr>
            <w:rFonts w:ascii="Calibri" w:hAnsi="Calibri" w:cs="Calibri"/>
            <w:color w:val="0000FF"/>
          </w:rPr>
          <w:t>статьи 150</w:t>
        </w:r>
      </w:hyperlink>
      <w:r>
        <w:rPr>
          <w:rFonts w:ascii="Calibri" w:hAnsi="Calibri" w:cs="Calibri"/>
        </w:rPr>
        <w:t xml:space="preserve"> Арбитражного процессуального кодекса Российской Федерации.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Приказ Банка России об отзыве лицензии у кредитной организации признается недействительным после принятия решения о признании этой организации банкротом, производство по делу о банкротстве кредитной организации продолжается в общем порядке.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соответствии со </w:t>
      </w:r>
      <w:hyperlink r:id="rId12" w:history="1">
        <w:r>
          <w:rPr>
            <w:rFonts w:ascii="Calibri" w:hAnsi="Calibri" w:cs="Calibri"/>
            <w:color w:val="0000FF"/>
          </w:rPr>
          <w:t>статьями 181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182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 в отношении кредитной организации не предусматривается возможность введения процедуры наблюдения по результатам рассмотрения заявления о признании кредитной организации банкротом. В связи с этим после введения в действие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несостоятельности (банкротстве)" (3 декабря 2002 г.) процедура наблюдения, установленная в действующей редакции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несостоятельности (банкротстве) кредитных организаций", при рассмотрении дел о банкротстве кредитных организаций не подлежит применению.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При вынесении определения о принятии заявления о признании кредитной организации банкротом арбитражный суд на основании абзаца второго пункта 6 </w:t>
      </w:r>
      <w:hyperlink r:id="rId16" w:history="1">
        <w:r>
          <w:rPr>
            <w:rFonts w:ascii="Calibri" w:hAnsi="Calibri" w:cs="Calibri"/>
            <w:color w:val="0000FF"/>
          </w:rPr>
          <w:t>статьи 42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 назначает дату проведения судебного заседания, на котором проверяется обоснованность требований заявителя и исследуется вопрос о наличии или отсутствии признаков банкротства кредитной организации, позволяющих принять решение о признании ее несостоятельной.</w:t>
      </w:r>
      <w:proofErr w:type="gramEnd"/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 вынесения ранее определения о введении процедуры наблюдения арбитражный суд при получении заявления от лица, участвующего в деле, назначает судебное заседание для рассмотрения в соответствии с пунктом 1 </w:t>
      </w:r>
      <w:hyperlink r:id="rId17" w:history="1">
        <w:r>
          <w:rPr>
            <w:rFonts w:ascii="Calibri" w:hAnsi="Calibri" w:cs="Calibri"/>
            <w:color w:val="0000FF"/>
          </w:rPr>
          <w:t>статьи 182</w:t>
        </w:r>
      </w:hyperlink>
      <w:r>
        <w:rPr>
          <w:rFonts w:ascii="Calibri" w:hAnsi="Calibri" w:cs="Calibri"/>
        </w:rPr>
        <w:t xml:space="preserve"> Федерального закона "О несостоятельности </w:t>
      </w:r>
      <w:r>
        <w:rPr>
          <w:rFonts w:ascii="Calibri" w:hAnsi="Calibri" w:cs="Calibri"/>
        </w:rPr>
        <w:lastRenderedPageBreak/>
        <w:t>(банкротстве)" вопроса о признании кредитной организации несостоятельной или об отказе в признании ее таковой. При этом в случае признания кредитной организации несостоятельной и открытия конкурсного производства кредиторы, чьи требования были включены в реестр требований кредиторов в ходе процедуры наблюдения, считаются лицами, участвующими в деле, и не должны предъявлять свои требования повторно.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Правило, содержащееся в пункте 2 </w:t>
      </w:r>
      <w:hyperlink r:id="rId18" w:history="1">
        <w:r>
          <w:rPr>
            <w:rFonts w:ascii="Calibri" w:hAnsi="Calibri" w:cs="Calibri"/>
            <w:color w:val="0000FF"/>
          </w:rPr>
          <w:t>статьи 35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 кредитных организаций", носит специальный характер по отношению к положениям </w:t>
      </w:r>
      <w:hyperlink r:id="rId19" w:history="1">
        <w:r>
          <w:rPr>
            <w:rFonts w:ascii="Calibri" w:hAnsi="Calibri" w:cs="Calibri"/>
            <w:color w:val="0000FF"/>
          </w:rPr>
          <w:t>статей 15,</w:t>
        </w:r>
      </w:hyperlink>
      <w:r>
        <w:rPr>
          <w:rFonts w:ascii="Calibri" w:hAnsi="Calibri" w:cs="Calibri"/>
        </w:rPr>
        <w:t xml:space="preserve"> </w:t>
      </w:r>
      <w:hyperlink r:id="rId20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45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 и означает, что к моменту рассмотрения заявления Банка России о признании кредитной организации банкротом кандидатура арбитражного управляющего должна быть в установленный срок предложена Банком России.</w:t>
      </w:r>
      <w:proofErr w:type="gramEnd"/>
      <w:r>
        <w:rPr>
          <w:rFonts w:ascii="Calibri" w:hAnsi="Calibri" w:cs="Calibri"/>
        </w:rPr>
        <w:t xml:space="preserve"> При этом предложенное Банком России лицо должно соответствовать требованиям, предъявляемым к арбитражным управляющим в соответствии со </w:t>
      </w:r>
      <w:hyperlink r:id="rId22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(банкротстве)", и иметь аттестат арбитражного управляющего </w:t>
      </w:r>
      <w:hyperlink r:id="rId23" w:history="1">
        <w:r>
          <w:rPr>
            <w:rFonts w:ascii="Calibri" w:hAnsi="Calibri" w:cs="Calibri"/>
            <w:color w:val="0000FF"/>
          </w:rPr>
          <w:t>(статья 6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 кредитных организаций").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Пункт 2 </w:t>
      </w:r>
      <w:hyperlink r:id="rId24" w:history="1">
        <w:r>
          <w:rPr>
            <w:rFonts w:ascii="Calibri" w:hAnsi="Calibri" w:cs="Calibri"/>
            <w:color w:val="0000FF"/>
          </w:rPr>
          <w:t>статьи 35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 кредитных организаций" подлежит применению также в следующих случаях: когда с заявлением о признании кредитной организации несостоятельной обращается не Банк России, а иное лицо; когда в процессе конкурсного производства решается вопрос о назначении нового арбитражного управляющего.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Правило, содержащееся в абзаце втором пункта 1 </w:t>
      </w:r>
      <w:hyperlink r:id="rId25" w:history="1">
        <w:r>
          <w:rPr>
            <w:rFonts w:ascii="Calibri" w:hAnsi="Calibri" w:cs="Calibri"/>
            <w:color w:val="0000FF"/>
          </w:rPr>
          <w:t>статьи 6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 кредитных организаций", носит специальный характер по отношению к положениям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несостоятельности (банкротстве)" и означает, что к моменту рассмотрения заявления о признании отсутствующей кредитной организации банкротом кандидатура конкурсного управляющего может быть предложена Банком России из числа служащих Банка России, при этом на служащих Банка России</w:t>
      </w:r>
      <w:proofErr w:type="gramEnd"/>
      <w:r>
        <w:rPr>
          <w:rFonts w:ascii="Calibri" w:hAnsi="Calibri" w:cs="Calibri"/>
        </w:rPr>
        <w:t xml:space="preserve"> не распространяются требования, предъявляемые к арбитражным управляющим в соответствии со </w:t>
      </w:r>
      <w:hyperlink r:id="rId27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(банкротстве)".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Высшего Арбитражного Суда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В.Ф.ЯКОВЛЕВ</w:t>
      </w: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2504" w:rsidRDefault="003625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2504" w:rsidRDefault="0036250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37584" w:rsidRDefault="00F37584">
      <w:bookmarkStart w:id="0" w:name="_GoBack"/>
      <w:bookmarkEnd w:id="0"/>
    </w:p>
    <w:sectPr w:rsidR="00F37584" w:rsidSect="00C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04"/>
    <w:rsid w:val="00362504"/>
    <w:rsid w:val="00F3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77903AD86F562F991EF466133BB21F78765F857AF276493133A8E283409AA70A4E386C07074a6PFK" TargetMode="External"/><Relationship Id="rId13" Type="http://schemas.openxmlformats.org/officeDocument/2006/relationships/hyperlink" Target="consultantplus://offline/ref=26477903AD86F562F991EF466133BB21F28963F153A47A6E9B4A368C2F3B56BD77EDEF87C0737562aDP6K" TargetMode="External"/><Relationship Id="rId18" Type="http://schemas.openxmlformats.org/officeDocument/2006/relationships/hyperlink" Target="consultantplus://offline/ref=26477903AD86F562F991EF466133BB21F78765F857AF276493133A8E283409AA70A4E386C07076a6P0K" TargetMode="External"/><Relationship Id="rId26" Type="http://schemas.openxmlformats.org/officeDocument/2006/relationships/hyperlink" Target="consultantplus://offline/ref=26477903AD86F562F991EF466133BB21F28963F153A47A6E9B4A368C2Fa3PB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477903AD86F562F991EF466133BB21F28963F153A47A6E9B4A368C2F3B56BD77EDEF87C0727763aDP1K" TargetMode="External"/><Relationship Id="rId7" Type="http://schemas.openxmlformats.org/officeDocument/2006/relationships/hyperlink" Target="consultantplus://offline/ref=26477903AD86F562F991EF466133BB21F28963F153A47A6E9B4A368C2F3B56BD77EDEF87C0737562aDP5K" TargetMode="External"/><Relationship Id="rId12" Type="http://schemas.openxmlformats.org/officeDocument/2006/relationships/hyperlink" Target="consultantplus://offline/ref=26477903AD86F562F991EF466133BB21F28963F153A47A6E9B4A368C2F3B56BD77EDEF87C0737563aDPDK" TargetMode="External"/><Relationship Id="rId17" Type="http://schemas.openxmlformats.org/officeDocument/2006/relationships/hyperlink" Target="consultantplus://offline/ref=26477903AD86F562F991EF466133BB21F28963F153A47A6E9B4A368C2F3B56BD77EDEF87C0737562aDP7K" TargetMode="External"/><Relationship Id="rId25" Type="http://schemas.openxmlformats.org/officeDocument/2006/relationships/hyperlink" Target="consultantplus://offline/ref=26477903AD86F562F991EF466133BB21F78765F857AF276493133A8E283409AA70A4E386C07276a6P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477903AD86F562F991EF466133BB21F28963F153A47A6E9B4A368C2F3B56BD77EDEF87C0727765aDP3K" TargetMode="External"/><Relationship Id="rId20" Type="http://schemas.openxmlformats.org/officeDocument/2006/relationships/hyperlink" Target="consultantplus://offline/ref=26477903AD86F562F991EF466133BB21F28963F153A47A6E9B4A368C2F3B56BD77EDEF87C0727766aDP3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477903AD86F562F991EF466133BB21F28963F153A47A6E9B4A368C2Fa3PBK" TargetMode="External"/><Relationship Id="rId11" Type="http://schemas.openxmlformats.org/officeDocument/2006/relationships/hyperlink" Target="consultantplus://offline/ref=26477903AD86F562F991EF466133BB21F28A67F056A17A6E9B4A368C2F3B56BD77EDEF87C0727B63aDP0K" TargetMode="External"/><Relationship Id="rId24" Type="http://schemas.openxmlformats.org/officeDocument/2006/relationships/hyperlink" Target="consultantplus://offline/ref=26477903AD86F562F991EF466133BB21F78765F857AF276493133A8E283409AA70A4E386C07076a6P0K" TargetMode="External"/><Relationship Id="rId5" Type="http://schemas.openxmlformats.org/officeDocument/2006/relationships/hyperlink" Target="consultantplus://offline/ref=26477903AD86F562F991EF466133BB21F78765F857AF276493133A8Ea2P8K" TargetMode="External"/><Relationship Id="rId15" Type="http://schemas.openxmlformats.org/officeDocument/2006/relationships/hyperlink" Target="consultantplus://offline/ref=26477903AD86F562F991EF466133BB21F78765F857AF276493133A8E283409AA70A4E386C07271a6P3K" TargetMode="External"/><Relationship Id="rId23" Type="http://schemas.openxmlformats.org/officeDocument/2006/relationships/hyperlink" Target="consultantplus://offline/ref=26477903AD86F562F991EF466133BB21F78765F857AF276493133A8E283409AA70A4E386C07271a6P0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6477903AD86F562F991EF466133BB21F28A6BF453A77A6E9B4A368C2F3B56BD77EDEF87C072736EaDPDK" TargetMode="External"/><Relationship Id="rId19" Type="http://schemas.openxmlformats.org/officeDocument/2006/relationships/hyperlink" Target="consultantplus://offline/ref=26477903AD86F562F991EF466133BB21F28963F153A47A6E9B4A368C2F3B56BD77EDEF87C0727362aDP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477903AD86F562F991EF466133BB21F78765F857AF276493133A8E283409AA70A4E386C07075a6P3K" TargetMode="External"/><Relationship Id="rId14" Type="http://schemas.openxmlformats.org/officeDocument/2006/relationships/hyperlink" Target="consultantplus://offline/ref=26477903AD86F562F991EF466133BB21F28963F153A47A6E9B4A368C2F3B56BD77EDEF87C0707265aDPCK" TargetMode="External"/><Relationship Id="rId22" Type="http://schemas.openxmlformats.org/officeDocument/2006/relationships/hyperlink" Target="consultantplus://offline/ref=26477903AD86F562F991EF466133BB21F28963F153A47A6E9B4A368C2F3B56BD77EDEF87C0727064aDP7K" TargetMode="External"/><Relationship Id="rId27" Type="http://schemas.openxmlformats.org/officeDocument/2006/relationships/hyperlink" Target="consultantplus://offline/ref=26477903AD86F562F991EF466133BB21F28963F153A47A6E9B4A368C2F3B56BD77EDEF87C0727064aDP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2014-06-26T10:15:00Z</dcterms:created>
  <dcterms:modified xsi:type="dcterms:W3CDTF">2014-06-26T10:17:00Z</dcterms:modified>
</cp:coreProperties>
</file>